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BB" w:rsidRPr="00291ABB" w:rsidRDefault="00291ABB" w:rsidP="00291ABB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it-IT"/>
        </w:rPr>
        <w:drawing>
          <wp:inline distT="0" distB="0" distL="0" distR="0">
            <wp:extent cx="6696075" cy="1171575"/>
            <wp:effectExtent l="0" t="0" r="0" b="0"/>
            <wp:docPr id="1" name="Immagine 1" descr="logo gazzetta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zzetta uffic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ABB" w:rsidRPr="00291ABB" w:rsidRDefault="00291ABB" w:rsidP="00291ABB">
      <w:pPr>
        <w:spacing w:after="0" w:line="240" w:lineRule="auto"/>
        <w:jc w:val="center"/>
        <w:rPr>
          <w:rFonts w:ascii="Georgia" w:eastAsia="Times New Roman" w:hAnsi="Georgia" w:cs="Arial"/>
          <w:color w:val="FFFFFF"/>
          <w:sz w:val="18"/>
          <w:szCs w:val="18"/>
          <w:lang w:eastAsia="it-IT"/>
        </w:rPr>
      </w:pPr>
      <w:hyperlink r:id="rId5" w:tooltip="Home" w:history="1">
        <w:r w:rsidRPr="00291ABB">
          <w:rPr>
            <w:rFonts w:ascii="Arial" w:eastAsia="Times New Roman" w:hAnsi="Arial" w:cs="Arial"/>
            <w:caps/>
            <w:color w:val="FFFFFF"/>
            <w:sz w:val="17"/>
            <w:szCs w:val="17"/>
            <w:lang w:eastAsia="it-IT"/>
          </w:rPr>
          <w:t>Home</w:t>
        </w:r>
      </w:hyperlink>
      <w:r w:rsidRPr="00291ABB">
        <w:rPr>
          <w:rFonts w:ascii="Georgia" w:eastAsia="Times New Roman" w:hAnsi="Georgia" w:cs="Arial"/>
          <w:color w:val="FFFFFF"/>
          <w:sz w:val="18"/>
          <w:szCs w:val="18"/>
          <w:lang w:eastAsia="it-IT"/>
        </w:rPr>
        <w:t xml:space="preserve"> </w:t>
      </w:r>
    </w:p>
    <w:p w:rsidR="00291ABB" w:rsidRDefault="00291ABB" w:rsidP="00291ABB">
      <w:pPr>
        <w:pStyle w:val="Titolo2"/>
        <w:spacing w:before="240" w:beforeAutospacing="0" w:after="0" w:afterAutospacing="0"/>
        <w:ind w:left="240" w:right="240"/>
        <w:jc w:val="left"/>
        <w:rPr>
          <w:rFonts w:ascii="Arial" w:hAnsi="Arial" w:cs="Arial"/>
          <w:color w:val="536074"/>
          <w:sz w:val="25"/>
          <w:szCs w:val="25"/>
        </w:rPr>
      </w:pPr>
      <w:r w:rsidRPr="00291ABB"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Arial" w:hAnsi="Arial" w:cs="Arial"/>
          <w:color w:val="536074"/>
          <w:sz w:val="25"/>
          <w:szCs w:val="25"/>
        </w:rPr>
        <w:t xml:space="preserve">LEGGE 27 novembre 2020, n. 159  </w:t>
      </w:r>
    </w:p>
    <w:p w:rsidR="00291ABB" w:rsidRDefault="00291ABB" w:rsidP="00291ABB">
      <w:pPr>
        <w:pStyle w:val="Titolo3"/>
        <w:pBdr>
          <w:bottom w:val="single" w:sz="6" w:space="7" w:color="CCCCCC"/>
        </w:pBdr>
        <w:spacing w:before="0" w:beforeAutospacing="0" w:after="48" w:afterAutospacing="0" w:line="312" w:lineRule="atLeast"/>
        <w:rPr>
          <w:rFonts w:ascii="Arial" w:hAnsi="Arial" w:cs="Arial"/>
          <w:b w:val="0"/>
          <w:bCs w:val="0"/>
          <w:color w:val="444444"/>
          <w:sz w:val="23"/>
          <w:szCs w:val="23"/>
        </w:rPr>
      </w:pPr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Conversione in legge, con modificazioni, del decreto-legge 7 ottobre 2020, n. 125, recante misure urgenti connesse con la proroga della dichiarazione dello stato di emergenza epidemiologica da COVID-19 e per la </w:t>
      </w:r>
      <w:proofErr w:type="spellStart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>continuita'</w:t>
      </w:r>
      <w:proofErr w:type="spellEnd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operativa del sistema di allerta COVID, </w:t>
      </w:r>
      <w:proofErr w:type="spellStart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>nonche'</w:t>
      </w:r>
      <w:proofErr w:type="spellEnd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per l'attuazione della direttiva (UE) 2020/739 del 3 giugno 2020. (20G00182) </w:t>
      </w:r>
      <w:hyperlink r:id="rId6" w:tgtFrame="_blank" w:history="1">
        <w:r>
          <w:rPr>
            <w:rStyle w:val="Collegamentoipertestuale"/>
            <w:rFonts w:ascii="Arial" w:hAnsi="Arial" w:cs="Arial"/>
            <w:b w:val="0"/>
            <w:bCs w:val="0"/>
            <w:color w:val="4A970B"/>
            <w:sz w:val="23"/>
            <w:szCs w:val="23"/>
          </w:rPr>
          <w:t>(GU Serie Generale n.300 del 03-12-2020)</w:t>
        </w:r>
      </w:hyperlink>
      <w:r>
        <w:rPr>
          <w:rStyle w:val="linkgazzetta"/>
          <w:rFonts w:ascii="Arial" w:hAnsi="Arial" w:cs="Arial"/>
          <w:b w:val="0"/>
          <w:bCs w:val="0"/>
          <w:color w:val="4A970B"/>
          <w:sz w:val="23"/>
          <w:szCs w:val="23"/>
        </w:rPr>
        <w:t xml:space="preserve"> </w:t>
      </w:r>
    </w:p>
    <w:p w:rsidR="00291ABB" w:rsidRDefault="00291ABB" w:rsidP="00291ABB">
      <w:pPr>
        <w:pStyle w:val="Titolo4"/>
        <w:spacing w:after="120" w:afterAutospacing="0" w:line="288" w:lineRule="atLeast"/>
        <w:rPr>
          <w:rStyle w:val="rosso2"/>
          <w:rFonts w:ascii="Arial" w:hAnsi="Arial" w:cs="Arial"/>
          <w:b w:val="0"/>
          <w:bCs w:val="0"/>
          <w:sz w:val="23"/>
          <w:szCs w:val="23"/>
        </w:rPr>
      </w:pPr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note: </w:t>
      </w:r>
      <w:r>
        <w:rPr>
          <w:rStyle w:val="rosso2"/>
          <w:rFonts w:ascii="Arial" w:hAnsi="Arial" w:cs="Arial"/>
          <w:b w:val="0"/>
          <w:bCs w:val="0"/>
          <w:sz w:val="23"/>
          <w:szCs w:val="23"/>
        </w:rPr>
        <w:t>Entrata in vigore del provvedimento: 04/12/2020</w:t>
      </w:r>
    </w:p>
    <w:p w:rsidR="00291ABB" w:rsidRDefault="00291ABB" w:rsidP="00291ABB">
      <w:pPr>
        <w:pStyle w:val="Titolo4"/>
        <w:spacing w:after="120" w:afterAutospacing="0" w:line="288" w:lineRule="atLeast"/>
        <w:rPr>
          <w:rFonts w:ascii="Arial" w:hAnsi="Arial" w:cs="Arial"/>
          <w:b w:val="0"/>
          <w:bCs w:val="0"/>
          <w:color w:val="444444"/>
          <w:sz w:val="23"/>
          <w:szCs w:val="23"/>
        </w:rPr>
      </w:pPr>
      <w:r>
        <w:rPr>
          <w:rStyle w:val="rosso2"/>
          <w:rFonts w:ascii="Arial" w:hAnsi="Arial" w:cs="Arial"/>
          <w:b w:val="0"/>
          <w:bCs w:val="0"/>
          <w:sz w:val="23"/>
          <w:szCs w:val="23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La  Camera  dei  deputati  ed  il  Senato  della  Repubblica  hanno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approvato;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IL PRESIDENTE DELLA REPUBBLICA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Promulga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la seguente legge: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Art. 1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Il decreto-legge 7 ottobre 2020, n. 125, recante misure  urgenti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connesse con la proroga della dichiarazione dello stato di  emergenza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epidemiologica da COVID-19 e per la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continuita'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operativa del sistema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allerta COVID,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per  l'attuazione  della  direttiva  (UE)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2020/739  del  3  giugno  2020,  e'  convertito  in  legge   con 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modificazioni riportate in allegato alla presente legge.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Il decreto-legge 20 ottobre 2020, n. 129, e'  abrogato.  Restano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validi gli atti e i provvedimenti adottati e  sono  fatti  salvi  gli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effetti prodottisi e  i  rapporti  giuridici  sorti  sulla  base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medesimo decreto-legge 20 ottobre 2020, n. 129.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3. Il decreto-legge 7 novembre 2020, n. 148, e'  abrogato.  Restano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validi gli atti e i provvedimenti adottati e  sono  fatti  salvi  gli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effetti prodottisi e  i  rapporti  giuridici  sorti  sulla  base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medesimo decreto-legge 7 novembre 2020, n. 148.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4. La presente legge entra in vigore il giorno successivo a  quello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della sua pubblicazione nella Gazzetta Ufficiale.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La presente legge, munita del sigillo dello Stato,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sara'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inserita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nella  Raccolta  ufficiale  degli  atti  normativi  della  Repubblica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italiana. E' fatto obbligo a chiunque spetti di osservarla e di farla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osservare come legge dello Stato.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Data a Roma,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addi'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27 novembre 2020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MATTARELLA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Conte, Presidente del  Consiglio  dei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ministri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Speranza, Ministro della salute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Visto, il Guardasigilli: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Bonafede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291AB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 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Avvertenza: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Il decreto-legge 7ottobre 2020, n. 125, e' stato pubblicato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nella Gazzetta Ufficiale - Serie generale -  n.  248  del 7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ottobre 2020. A norma dell'art. 15, comma 5, della legge 23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agosto 1988, n. 400 (Disciplina dell'</w:t>
      </w:r>
      <w:proofErr w:type="spellStart"/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>attivita</w:t>
      </w:r>
      <w:proofErr w:type="spellEnd"/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>' di Governo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ordinamento della Presidenza del Consiglio  dei  ministri),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le modifiche apportate dalla presente legge di  conversione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hanno efficacia dal giorno successivo a  quello  della  sua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pubblicazione.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lastRenderedPageBreak/>
        <w:t xml:space="preserve">              Il testo del decreto-legge coordinato con la  legge  di</w:t>
      </w:r>
    </w:p>
    <w:p w:rsid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conversione  e'  pubblicato  in  questa   stessa   Gazzetta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</w:p>
    <w:p w:rsid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         Ufficiale alla pag. 26. </w:t>
      </w:r>
    </w:p>
    <w:p w:rsid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it-IT"/>
        </w:rPr>
      </w:pPr>
      <w:r w:rsidRPr="00291ABB">
        <w:rPr>
          <w:rFonts w:ascii="Times New Roman" w:eastAsia="Times New Roman" w:hAnsi="Times New Roman" w:cs="Times New Roman"/>
          <w:color w:val="444444"/>
          <w:sz w:val="25"/>
          <w:lang w:eastAsia="it-IT"/>
        </w:rPr>
        <w:t xml:space="preserve">(Allegato)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                             Allegato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MODIFICAZIONI APPORTATE IN SEDE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CONVERSIONE  AL  DECRETO-LEGGE  7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OTTOBRE 2020, N. 125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All'articolo 1: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al comma 3, lettera b), il numero 1) e' sostituito dal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«1) il numero 16-ter e' sostituito dal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"16-ter. Articolo 87, commi 6 e 7, del decreto-legge 17 marzo 2020,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n. 18, convertito, con modificazioni, dalla legge 24 aprile 2020,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27"»;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al comma 3,  lettera  b),  dopo  il  numero  6)  e'  inserito  il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«6-bis) al numero  32,  il  primo  periodo  e'  sostituito  dal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seguente: "L'articolo 90, commi 3 e 4, del  decreto-legge  19  maggio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2020, n. 34, convertito, con modificazioni,  dalla  legge  17  luglio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2020, n. 77, e' prorogato fino al 31 gennaio 2021 e comunque fino  al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termine dello stato di emergenza"»;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al comma 3, lettera b), numero  8),  capoverso  34-bis,  dopo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parole: «n. 104»  sono  aggiunte  le  seguenti:  «,  convertito,  con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modificazioni, dalla legge 13 ottobre 2020, n. 126»;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dopo il comma 4 sono aggiunti i seguenti: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«4-bis. All'articolo 100, comma 2, del decreto-legge 17 marzo 2020,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n. 18, convertito, con modificazioni, dalla legge 24 aprile 2020,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27, dopo il primo periodo e' aggiunto il seguente:  "Si  procede,  in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ogni caso,  al  rinnovo  dei  mandati  dei  componenti  degli  organi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statutari degli enti di cui al presente comma, laddove  scaduti  alla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data  di  entrata  in  vigore  della   legge   di   conversione 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decreto-legge 7 ottobre 2020, n. 125, entro il 31 gennaio 2021".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4-ter. Al fine di garantire la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qualita'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delle  indagini  effettuate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dall'Istituto nazionale di statistica (ISTAT) ai sensi degli articoli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7 e 11 del decreto legislativo 6 settembre 1989, n. 322, nel  periodo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dello stato emergenziale da COVID-19, i termini per la fornitura  dei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dati da parte dei soggetti indicati nel comma 1 del  citato  articolo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7, compresi nel periodo dal 1° gennaio 2020 al 31 dicembre 2020,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riaperti fino al 31 marzo  2021.  L'ISTAT  provvede  alla  riapertura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relative piattaforme informatiche o  alla  comunicazione 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diverse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per la fornitura dei dati statistici da  parte  dei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soggetti indicati nel comma 1 del citato articolo 7 fino al 31  marzo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2021, data dalla quale decorrono i termini per  l'accertamento 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violazioni.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4-quater. All'articolo 104, comma 1,  del  decreto-legge  17  marzo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2020, n. 18, convertito, con modificazioni,  dalla  legge  24  aprile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2020, n. 27, le parole: "al 31 dicembre 2020" sono  sostituite  dalle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seguenti: "al 30 aprile 2021".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4-quinquies. All'articolo 107, comma 2, del decreto-legge 17  marzo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2020, n. 18, convertito, con modificazioni,  dalla  legge  24  aprile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2020,  n.  27,  il  secondo  periodo  e'  sostituito  dal   seguente: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"Limitatamente all'anno 2020, le date del 14 ottobre e del 28 ottobre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all'articolo 13, comma 15-ter, del  decreto-legge  6  dicembre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2011, n. 201, convertito, con modificazioni, dalla legge 22  dicembre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2011, n. 214, e all'articolo 1, commi  762  e  767,  della  legge  27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dicembre  2019,  n.  160,  sono  differite,  rispettivamente,  al  31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dicembre 2020 e al 31 gennaio 2021".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4-sexies. Resta fermo il termine  per  il  versamento  dell'imposta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municipale propria (IMU) previsto per il 16 dicembre  2020  ai  sensi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dell'articolo 1, comma 762, della legge 27 dicembre 2019, n. 160,  da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effettuare sulla base degli atti pubblicati  nel  sito  internet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Diparti-mento delle  finanze  del  Ministero  dell'economia  e 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finanze.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4-septies. L'eventuale  differenza  positiva  tra  l'IMU  calcolata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sulla base degli atti pubblicati ai sensi  del  comma  4-quinquies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l'imposta versata entro il 16 dicembre 2020  sulla  base  degli  atti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pubblicati ai sensi del comma 4-sexies e' dovuta  senza  applicazione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sanzioni e interessi entro il 28 febbraio 2021.  Nel  caso  emerga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una differenza negativa, il rimborso  e'  dovuto  secondo  le  regole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ordinarie.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4-octies. All'articolo 116 del decreto-legge 17 marzo 2020, n.  18,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convertito, con modificazioni, dalla legge 24 aprile 2020, n. 27,  e'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aggiunto,  in  fine,  il  seguente  periodo:  "Il  termine   previsto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dall'articolo 4, comma 5, del decreto-legge  21  settembre  2019,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104, convertito, con modificazioni, dalla legge 18 novembre 2019,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132, per  l'adozione  dei  provvedimenti  di  riorganizzazione  degli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uffici del  Ministero  delle  infrastrutture  e  dei  trasporti,  ivi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compresi  quelli  di  diretta  collaborazione,  e'  differito  al  31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dicembre 2020".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4-novies. All'articolo 101, comma 2, del codice del Terzo  settore,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 decreto legislativo 3 luglio 2017, n. 117, le  parole:  "31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ottobre 2020" sono sostituite dalle seguenti: "31 marzo 2021".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4-decies. All'articolo 17,  comma  3,  del  decreto  legislativo  3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luglio 2017, n. 112, le parole:  "entro  il  31  ottobre  2020" 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sostituite dalle seguenti: "entro il 31 marzo 2021".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4-undecies.   In   considerazione   della   crescente    diffusione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dell'accesso ai servizi finanziari in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digitale da parte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cittadini e imprese durante l'emergenza epidemiologica  da  COVID-19,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comunicazione della Commissione europea al Parlamento  europeo,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 Consiglio, al Comitato economico e sociale europeo e  al  Comitato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regioni relativa a una strategia in materia di finanza digitale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per l'UE del 24 settembre 2020 (COM(2020) 591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final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),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proroghe di cui al comma 3, lettera b), numeri 3) e 4), del  presente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articolo, all'articolo 36 del decreto-legge 30 aprile  2019,  n.  34,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convertito, con modificazioni, dalla legge 28  giugno  2019,  n.  58,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sono apportate le seguenti modificazioni: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al comma  2-bis,  le  parole  da:  "entro"  fino  a  "presente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decreto" sono sostituite dalle seguenti: "entro il 31 gennaio 2021";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al comma 2-ter: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1) alla lettera  a),  dopo  le  parole:  "diciotto  mesi" 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aggiunte le seguenti: "prorogabili per un massimo di ulteriori dodici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mesi";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2) alla lettera e), dopo le parole: "definizione di  perimetri"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sono inserite le seguenti: "e limiti";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c) al comma  2-quater,  dopo  la  lettera  a)  sono  inserite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seguenti: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"a-bis)  i  casi  in  cui  un'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'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puo'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essere  ammessa  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sperimentazione;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a-ter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) i casi in cui e' ammessa la proroga";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d) al  comma  2-quinquies,  le  parole:  "al  comma  2-ter" 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sostituite dalle seguenti: "ai commi 2-ter e 2-quater";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e) al comma 2-sexies, le parole  da:  "ciascuna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"  fino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alla fine  del  comma  sono  sostituite  dalle  seguenti:  "la  Banca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d'Italia, la CONSOB e l'IVASS, nell'ambito delle proprie competenze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materie seguite, adottano i provvedimenti per l'ammissione alla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sperimentazione delle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cui al comma 2-bis ed  ogni  altra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iniziativa  ad  essi  propedeutica.  Nel  rispetto  della   normativa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inderogabile dell'Unione europea, l'ammissione  alla  sperimentazione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puo'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comportare la  deroga  o  la  disapplicazione  temporanee  degli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orientamenti di vigilanza o degli atti di carattere generale  emanati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dalle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vigilanza,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delle norme o  dei  regolamenti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emanati dalle medesime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vigilanza, concernenti i  profili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 comma 2-quater, lettere b), c), d), e), f), g),  h),  i)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l). Alle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della Banca d'Italia, della  CONSOB  e  dell'IVASS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relative alla sperimentazione si applicano gli articoli 7  del  testo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unico di cui al decreto legislativo 1° settembre 1993, n. 385, 4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testo unico di cui al decreto legislativo 24 febbraio 1998, n. 58,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10 del codice di cui al decreto legislativo 7 settembre 2005, n. 209,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gli articoli 21 e 24, comma 6-bis, della  legge  28  dicembre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2005, n. 262";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f)  al  comma  2-octies,  dopo  le   parole:   "stabiliscono 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attribuzioni del Comitato." e' inserito il seguente periodo: "Per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svolte dal Comitato relative alla sperimentazione, i membri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permanenti  collaborano  tra  loro,   anche   mediante   scambio 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informazioni,  e  non  possono  reciprocamente  opporsi  il   segreto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d'ufficio".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4-duodecies. In  considerazione  dell'emergenza  epidemiologica  da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COVID-19, dalla data del 17 marzo 2020 e fino al  15  dicembre  2020,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 si applica l'articolo 11, comma 15, del testo unico in materia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societa'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 partecipazione pubblica, di cui al decreto legislativo  19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agosto 2016, n. 175. Nel suddetto periodo, agli organi delle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societa'</w:t>
      </w:r>
      <w:proofErr w:type="spellEnd"/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 house si applicano gli articoli 2385, secondo comma, e 2400, primo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comma, ultimo periodo, del codice civile. Nel medesimo  periodo 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fatti salvi gli atti posti  in  essere  da  tali  organi  e  la  loro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eventuale cessazione, per scadenza del termine, non  produce  effetti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fino a quando gli stessi non sono stati ricostituiti.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4-terdecies. Le elezioni dei comuni i cui organi sono stati sciolti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ai  sensi   dell'articolo   143   del   testo   unico   delle   leggi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sull'ordinamento degli enti locali, di cui al decreto legislativo  18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agosto 2000, n. 267,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indette per le date del 22  e  23  novembre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2020, sono rinviate e si svolgono entro il  31  marzo  2021  mediante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l'integrale rinnovo del procedimento di  presentazione  di  tutte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liste e le candidature a sindaco e a consigliere  comunale.  Fino  al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rinnovo degli organi di cui al primo periodo e' prorogata  la  durata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gestione della commissione straordinaria  di  cui  all'articolo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144 del citato testo unico di cui al decreto legislativo n.  267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2000.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4-quaterdecies. Limitatamente all'anno 2020, in caso di rinnovo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consiglio del comune capoluogo, il  termine  per  procedere  a  nuove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elezioni del consiglio metropolitano, di cui  all'articolo  1,  comma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21, della legge 7 aprile 2014,  n.  56,  e'  fissato  in  centottanta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giorni dalla proclamazione del sindaco del comune capoluogo.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4-quinquiesdecies.  Le  consultazioni  elettorali  concernenti 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elezioni dei presidenti delle province e dei consigli provinciali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cui all'articolo 1, comma 1, lettera  d-bis),  del  decreto-legge  20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aprile 2020, n. 26, convertito, con  modificazioni,  dalla  legge  19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giugno 2020, n. 59, sono rinviate,  anche  ove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indette,  e  si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svolgono entro il 31 marzo 2021,  mediante  l'integrale  rinnovo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relativo procedimento elettorale.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4-sexiesdecies. Fino al  rinnovo  degli  organi  di  cui  ai  commi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4-quaterdecies e 4-quinquiesdecies e' prorogata la durata del mandato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quelli in carica.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4-septiesdecies.  Dall'attuazione  dei  commi  da   4-terdecies   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4-sexiesdecies non devono derivare nuovi o maggiori  oneri  a  carico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finanza pubblica. Le amministrazioni competenti  alla  relativa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attuazione vi provvedono con le sole  risorse  umane,  finanziarie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strumentali disponibili a legislazione vigente.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4-duodevicies.  In  considerazione  delle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difficolta'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gestionali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derivanti dall'emergenza epidemiologica da  COVID-19,  in  deroga  al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limite di cui all'articolo 24, comma 3, del codice  della  protezione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civile, di cui al decreto legislativo 2 gennaio 2018, n. 1, lo  stato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emergenza dichiarato  con  delibera  del  Consiglio  dei  ministri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dell'8 novembre 2018, relativo agli eccezionali eventi  meteorologici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verificatisi a partire dal 2 ottobre 2018, e' prorogato di  ulteriori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dodici mesi senza nuovi o maggiori oneri  per  la  finanza  pubblica.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Alle conseguenti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 alle relative spese si fa fronte con  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risorse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assegnate allo scopo  con  delibere  del  Consiglio  dei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ministri.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4-undevicies. Al  solo  fine  di  consentire,  senza  soluzione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continuita'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  in  considerazione  dell'emergenza  epidemiologica  da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COVID-19, la conclusione degli interventi finanziati con  le  risorse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all'articolo 1, comma 1028, della legge 30 dicembre  2018,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145, e all'articolo 24-quater del decreto-legge 23 ottobre  2018,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119, convertito, con modificazioni, dalla legge 17 dicembre 2018,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136,  la  durata  delle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contabilita'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speciali   aperte   ai   sensi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dell'articolo 27 del codice di cui al decreto legislativo  2  gennaio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2018, n. 1, e sulle quali sono  confluite  le  relative  risorse,  e'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prorogabile fino al 31 dicembre  2024  con  ordinanza  del  Capo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Dipartimento  della  protezione   civile   da   adottare   ai   sensi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dell'articolo 25, comma 5, del decreto legislativo 2 gennaio 2018,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1, previa  verifica  del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cronoprogramma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dei  pagamenti  predisposto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tramite il sistema di cui al decreto legislativo 29 dicembre 2011,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229, in relazione agli interventi di  cui  al  presente  comma.  Alle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risorse disponibili sulle  predette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contabilita'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speciali  relative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agli stanziamenti disposti  a  valere  sul  Fondo  per  le  emergenze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nazionali di cui all'articolo 44 del decreto  legislativo  n.  1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2018 si applicano le procedure di cui all'articolo  27  del  medesimo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 legislativo n. 1 del 2018».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Dopo l'articolo 1 sono inseriti i seguenti: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«Art.  1-bis  (Disposizioni  in  materia  di  riscossione).  -   1.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All'articolo 68 del decreto-legge 17 marzo 2020, n.  18,  convertito,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 modificazioni, dalla legge 24 aprile 2020, n. 27, sono  apportate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le seguenti modificazioni: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nei commi 1 e 2-ter, le parole: "15 ottobre"  sono  sostituite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dalle seguenti: "31 dicembre";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dopo il comma 4 e' aggiunto il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"4-bis.  Con  riferimento  ai  carichi,   relativi   alle   entrate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tributarie e non tributarie, affidati  all'agente  della  riscossione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durante il periodo di sospensione di cui ai commi  1  e  2-bis, 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prorogati di dodici mesi: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il termine di cui all'articolo 19, comma 2,  lettera  a),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 legislativo 13 aprile 1999, n. 112;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anche in deroga alle disposizioni dell'articolo  3,  comma  3,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 legge  27  luglio  2000,  n.  212,  e  salvo  quanto  previsto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dall'articolo 157, comma 3, del decreto-legge 19 maggio 2020, n.  34,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convertito, con modificazioni, dalla legge 17 luglio 2020, n.  77,  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termini di decadenza e prescrizione in scadenza nell'anno 2021 per 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notifica delle cartelle di pagamento.  Relativamente  ai  termini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decadenza e prescrizione in scadenza nell'anno 2020 per  la  notifica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cartelle di pagamento, si applica quanto disposto dall'articolo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12, comma 2, del decreto legislativo 24 settembre 2015, n. 159".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All'articolo 152, comma 1, del decreto-legge 19 maggio 2020,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34, convertito, con modificazioni, dalla legge 17 luglio 2020, n. 77,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  parole:  "15  ottobre"  sono  sostituite  dalle   seguenti:   "31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dicembre".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3. Agli oneri derivanti dai commi 1 e 2, valutati in 109,5  milioni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euro per l'anno 2020 e 72,8 milioni di euro  per  l'anno  2021  in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termini di saldo netto da finanziare e in 316  milioni  di  euro  per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l'anno 2020 e 210 milioni di euro  per  l'anno  2021  in  termini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indebitamento netto e di fabbisogno, si provvede: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quanto a 275,8 milioni  di  euro  per  l'anno  2020,  mediante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corrispondente versamento all'entrata del bilancio  dello  Stato,  da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parte dell'Agenzia delle entrate, entro trenta giorni dalla  data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entrata in vigore del decreto-legge 20 ottobre 2020, n. 129, a valere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sulle  somme   trasferite   alla   predetta   Agenzia   per   effetto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dell'articolo 65 del decreto-legge 17 marzo 2020, n. 18,  convertito,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 modificazioni, dalla legge 24 aprile 2020, n. 27, e dell'articolo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28  del  decreto-legge  19  maggio  2020,  n.  34,  convertito,   con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modificazioni, dalla legge 17 luglio 2020, n. 77;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quanto a 72,8  milioni  di  euro  per  l'anno  2021,  mediante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utilizzo  delle  risorse  di  cui  all'articolo  2,  comma  55, 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decreto-legge   29   dicembre   2010,   n.   225,   convertito,   con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modificazioni, dalla legge 26 febbraio 2011, n. 10,  come  modificato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dall'articolo 1, comma 167, della legge 27 dicembre 2013, n. 147;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c) quanto a 40,2 milioni di euro per l'anno 2020 e 137,2  milioni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euro per l'anno 2021, in termini di  indebitamento  e  fabbisogno,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mediante corrispondente riduzione  del  Fondo  per  la  compensazione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degli  effetti  finanziari  non  previsti  a   legislazione   vigente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conseguenti all'attualizzazione di  contributi  pluriennali,  di  cui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all'articolo 6, comma 2, del decreto-legge 7 ottobre  2008,  n.  154,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convertito, con modificazioni, dalla legge 4 dicembre 2008, n. 189.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4. Nei confronti  degli  armatori  delle  imbarcazioni  sequestrate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dalle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libiche in data 1°  settembre  2020,  ferma  restando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l'aliquota  di   computo   delle   prestazioni   pensionistiche,   e'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riconosciuta la sospensione dei  termini  per  gli  adempimenti  e  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versamenti  dei  tributi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dei  contributi  previdenziali  ed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assistenziali e dei premi per l'assicurazione obbligatoria contro gli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infortuni e le malattie professionali, dal 1° settembre 2020  e  fino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 31 dicembre 2020. I versamenti sospesi possono essere  eseguiti  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decorrere dal 10 gennaio 2021  mediante  corresponsione  del  70  per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cento dell'importo dovuto in un'unica soluzione o nel numero  massimo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120 rate mensili, senza applicazione di sanzioni e interessi.  Non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si procede alla restituzione degli eventuali versamenti eccedenti  il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70 per cento dell'importo dovuto.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5. Il beneficio previsto al comma 4  e'  concesso  ai  sensi  della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sezione 3.1 della comunicazione della Commissione europea recante  un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"Quadro temporaneo per  le  misure  di  aiuto  di  Stato  a  sostegno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dell'economia nell'attuale emergenza del COVID-19" e  nei  limiti  ed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alle condizioni di cui alla medesima comunicazione. L'efficacia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disposizioni del comma 4 e' subordinata, ai sensi dell'articolo  108,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paragrafo 3, del  Trattato  sul  funzionamento  dell'Unione  europea,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all'autorizzazione della Commissione europea.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6. Agli oneri derivanti  dall'applicazione  del  comma  4,  pari  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204.000 euro per l'anno 2020,  si  provvede  mediante  corrispondente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utilizzo dello stanziamento  del  Fondo  per  il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riaccertamento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residui passivi di parte corrente, di cui all'articolo 34-ter,  comma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5, della legge 31 dicembre 2009, n.  196,  iscritto  nello  stato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previsione del Ministero del lavoro e delle politiche sociali.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Art. 1-ter (Proroga di  termini  in  materia  di  assunzioni  nelle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pubbliche  amministrazioni).  -  1.  All'articolo  1,  comma  2,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decreto-legge   31   dicembre   2014,   n.   192,   convertito,   con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modificazioni, dalla legge 27 febbraio 2015, n. 11,  le  parole:  "31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dicembre 2020", ovunque ricorrono, sono  sostituite  dalle  seguenti: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"31 dicembre 2021"».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All'articolo 2: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dopo il comma 1 e' inserito il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«1-bis. Ai fini del miglioramento delle  azioni  di  prevenzione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efficientamento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nell'uso della piattaforma unica  nazionale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sistema di allerta COVID, e' consentito  ai  lavoratori  del  settore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pubblico e privato l'utilizzo dei  propri  dispositivi  telematici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telefonici durante l'orario di lavoro, limitatamente  alle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finalita'</w:t>
      </w:r>
      <w:proofErr w:type="spellEnd"/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 presente comma,  in  via  temporanea  anche  in  deroga  ai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regolamenti aziendali  fino  al  termine  dello  stato  di  emergenza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epidemiologica da COVID-19».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All'articolo 3: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al comma 1, le parole: «recante "Misure urgenti per il sostegno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il  rilancio  dell'economia"»  sono  sostituite  dalle  seguenti:   «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convertito, con modificazioni, dalla legge 13 ottobre 2020, n. 126 »;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dopo il comma 1 sono aggiunti i seguenti: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«1-bis. In considerazione della situazione di crisi  economica  per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le imprese determinata dall'emergenza epidemiologica da COVID-l9,  al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regio decreto 16 marzo 1942,  n.  267,  sono  apportate  le  seguenti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modificazioni: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all'articolo 180, quarto  comma,  e'  aggiunto,  in  fine,  il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seguente periodo: "Il  tribunale  omologa  il  concordato  preventivo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anche in mancanza di voto da parte dell'amministrazione finanziaria 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degli enti gestori di forme di previdenza o  assistenza  obbligatorie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quando l'adesione e' determinante ai fini  del  raggiungimento 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maggioranze di cui all'articolo 177 e quando, anche sulla base 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risultanze della relazione del  professionista  di  cui  all'articolo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161, terzo comma,  la  proposta  di  soddisfacimento  della  predetta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amministrazione o  degli  enti  gestori  di  forme  di  previdenza  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assistenza  obbligatorie  e'  conveniente  rispetto   all'alternativa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liquidatoria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all'articolo 182-bis, quarto comma, e' aggiunto, in  fine,  il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seguente periodo: "Il tribunale omologa l'accordo' anche in  mancanza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adesione da parte dell'amministrazione finanziaria  o  degli  enti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gestori di forme  di  previdenza  o  assistenza  obbligatorie  quando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l'adesione e' decisiva ai fini del raggiungimento  della  percentuale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 primo comma e quando, anche  sulla  base  delle  risultanze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relazione del professionista  di  cui  al  medesimo  comma,  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proposta di soddisfacimento della predetta  amministrazione  o  degli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enti gestori di forme di  previdenza  o  assistenza  obbligatorie  e'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conveniente rispetto all'alternativa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liquidatoria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c) all'articolo 182-ter: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1) al  comma  1,  secondo  periodo,  dopo  le  parole:  "natura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chirografaria"  sono  inserite  le  seguenti:  "anche  a  seguito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degradazione per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incapienza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  2) al comma 5, il secondo periodo e' sostituito  dal  seguente: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"In tali casi l'attestazione  del  professionista,  relativamente  ai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crediti tributari o contributivi, e relativi accessori, ha ad oggetto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anche  la  convenienza  del  trattamento   proposto   rispetto   alla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liquidazione giudiziale; tale punto costituisce oggetto di  specifica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valutazione da parte del tribunale";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3) al comma 5, dopo il terzo periodo e' inserito  il  seguente: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"Ai fini della proposta di  accordo  su  crediti  aventi  ad  oggetto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contributi amministrati dagli enti gestori di forme di previdenza  ed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assistenza obbligatorie, e relativi accessori, copia della proposta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relativa documentazione, contestualmente al deposito presso  il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tribunale, deve essere presentata all'ufficio competente  sulla  base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dell'ultimo domicilio fiscale del debitore".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1-ter. Dalla data di entrata in vigore della legge  di  conversione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presente decreto cessa di  avere  applicazione  il  provvedimento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adottato ai sensi dell'articolo 32, comma  6,  del  decreto-legge  29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novembre 2008, n. 185, convertito, con modificazioni, dalla legge  28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gennaio 2009, n. 2»;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alla rubrica sono aggiunte,  in  fine,  le  seguenti  parole:  «,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applicazione   di   norme   in   materia   di   accordi 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ristrutturazione dei debiti e di concordati preventivi».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Dopo l'articolo 3 e' inserito il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«Art. 3-bis  (Proroga  degli  effetti  di  atti  amministrativi  in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scadenza). - 1. All'articolo 103 del decreto-legge 17 marzo 2020,  n.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18, convertito, con modificazioni, dalla legge 24 aprile 2020, n. 27,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sono apportate le seguenti modificazioni: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al comma 2, le parole: "il 31  luglio  2020"  sono  sostituite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dalle seguenti: "la data  della  dichiarazione  di  cessazione  dello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stato di emergenza epidemiologica da COVID-19";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dopo il comma 2-quinquies e' inserito il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"2-sexies. Tutti i certificati, attestati,  permessi,  concessioni,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autorizzazioni e atti abilitativi  comunque  denominati,  di  cui  al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comma 2, scaduti tra il 1° agosto 2020 e la data di entrata in vigore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legge di conversione del decreto-legge 7 ottobre 2020, n.  125,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 che non sono stati rinnovati, si intendono validi e  sono  soggetti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alla disciplina di cui al medesimo comma 2".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Fermo restando quanto previsto dall'articolo 8,  comma  10,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decreto-legge 16 luglio 2020, n. 76, convertito,  con  modificazioni,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dalla legge 11 settembre 2020, n. 120,  le  previsioni  di  cui  alle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lettere a) e b) del comma 1 non si applicano ai  documenti  unici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regolarita'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contributiva di cui al decreto del Ministro del lavoro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politiche sociali 30 gennaio 2015,  pubblicato  nella  Gazzetta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Ufficiale n. 125  del  1°  giugno  2015,  che  continuano  ad  essere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assoggettati alla disciplina ordinaria di  cui  al  medesimo  decreto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ministeriale.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3. I permessi di soggiorno e i  titoli  di  cui  all'articolo  103,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commi 2-quater e 2-quinquies, del decreto-legge 17 marzo 2020, n. 18,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convertito, con modificazioni, dalla legge 24  aprile  2020,  n.  27,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compresi quelli aventi scadenza sino al 31 dicembre 2020,  conservano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la loro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validita'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fino  alla  cessazione  dello  stato  di  emergenza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deliberato dal Consiglio dei ministri il  7  ottobre  2020  e  avente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scadenza il 31 gennaio 2021».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Dopo l'articolo 4 e' inserito il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«Art. 4-bis (Disposizioni  in  materia  di  poteri  di  istruttoria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'  per  le  garanzie  nelle  comunicazioni).  -  1.   In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considerazione delle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difficolta'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operative  e  gestionali  derivanti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dall'emergenza sanitaria in atto, in armonia con i  principi  di  cui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alla sentenza della Corte di  giustizia  dell'Unione  europea  del  3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settembre 2020, nella causa C-719/ 18,  a  decorrere  dalla  data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entrata in vigore della legge di conversione del presente  decreto  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per i successivi  sei  mesi,  nel  caso  in  cui  un  soggetto  operi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contemporaneamente nei mercati delle comunicazioni elettroniche e  in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  mercato  diverso,   ricadente   nel   sistema   integrato   delle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comunicazioni (SIC), anche  attraverso  partecipazioni  in  grado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determinare un'influenza notevole ai  sensi  dell'articolo  2359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codice civile, l'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' per le  garanzie  nelle  comunicazioni  e'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tenuta ad avviare un'istruttoria, da concludere entro il  termine  di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sei mesi dalla data di avvio del procedimento, volta a verificare  la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sussistenza di effetti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distorsivi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o di posizioni comunque lesive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pluralismo, sulla base di criteri  previamente  individuati,  tenendo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conto, fra l'altro, dei ricavi, delle barriere  all'ingresso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nonche'</w:t>
      </w:r>
      <w:proofErr w:type="spellEnd"/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 livello  di  concorrenza  nei  mercati   coinvolti,   adottando,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eventualmente, i provvedimenti di cui all'articolo 43, comma  5,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testo unico dei servizi di media audiovisivi e radiofonici, di cui al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decreto legislativo 31 luglio 2005, n. 177, per inibire  l'operazione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o rimuoverne gli effetti.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Le disposizioni di cui al  comma  1  si  applicano 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altresi'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procedimenti 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gia'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conclusi  dall'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'  per  le  garanzie  nelle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comunicazioni in applicazione  del  comma  11  dell'articolo  43  del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 legislativo 31 luglio 2005, n. 177.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3. L'</w:t>
      </w:r>
      <w:proofErr w:type="spellStart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</w:t>
      </w:r>
      <w:proofErr w:type="spellEnd"/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' per le garanzie nelle  comunicazioni  provvede  agli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adempimenti previsti ai commi 1 e 2 con le risorse umane, strumentali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 finanziarie disponibili a legislazione  vigente  e  senza  nuovi  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maggiori oneri per la finanza pubblica».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Dopo l'articolo 5 e' inserito il seguente: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«Art. 5-bis (Disposizioni in materia di assemblee  condominiali)  -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1. All'articolo 66, sesto comma, delle disposizioni per  l'attuazione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codice civile e disposizioni transitorie, di cui al regio decreto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30 marzo 1942, n.  318,  le  parole:  "di  tutti  i  condomini" 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sostituite dalle seguenti: "della maggioranza dei condomini"». 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  titolo  del   decreto-legge,   dopo   le   parole:   «emergenza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epidemiologica da COVID-19» sono inserite  le  seguenti:  «,  per  il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differimento di consultazioni elettorali  per  l'anno  2020»  e  sono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aggiunte, in fine, le seguenti parole: «, e disposizioni  urgenti  in</w:t>
      </w:r>
    </w:p>
    <w:p w:rsidR="00291ABB" w:rsidRPr="00291ABB" w:rsidRDefault="00291ABB" w:rsidP="00291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91ABB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materia di riscossione esattoriale». </w:t>
      </w:r>
    </w:p>
    <w:p w:rsidR="00291ABB" w:rsidRPr="00291ABB" w:rsidRDefault="00291ABB" w:rsidP="00291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291AB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 </w:t>
      </w:r>
    </w:p>
    <w:p w:rsidR="00291ABB" w:rsidRPr="00291ABB" w:rsidRDefault="00291ABB" w:rsidP="00291AB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it-IT"/>
        </w:rPr>
      </w:pPr>
    </w:p>
    <w:sectPr w:rsidR="00291ABB" w:rsidRPr="00291ABB" w:rsidSect="00343F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1ABB"/>
    <w:rsid w:val="00291ABB"/>
    <w:rsid w:val="0034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FC4"/>
  </w:style>
  <w:style w:type="paragraph" w:styleId="Titolo2">
    <w:name w:val="heading 2"/>
    <w:basedOn w:val="Normale"/>
    <w:link w:val="Titolo2Carattere"/>
    <w:uiPriority w:val="9"/>
    <w:qFormat/>
    <w:rsid w:val="00291ABB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3"/>
      <w:szCs w:val="43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91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91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91ABB"/>
    <w:rPr>
      <w:rFonts w:ascii="Times New Roman" w:eastAsia="Times New Roman" w:hAnsi="Times New Roman" w:cs="Times New Roman"/>
      <w:b/>
      <w:bCs/>
      <w:sz w:val="43"/>
      <w:szCs w:val="4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1ABB"/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91ABB"/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91ABB"/>
    <w:rPr>
      <w:strike w:val="0"/>
      <w:dstrike w:val="0"/>
      <w:color w:val="1191B0"/>
      <w:u w:val="none"/>
      <w:effect w:val="none"/>
    </w:rPr>
  </w:style>
  <w:style w:type="character" w:customStyle="1" w:styleId="rosso2">
    <w:name w:val="rosso2"/>
    <w:basedOn w:val="Carpredefinitoparagrafo"/>
    <w:rsid w:val="00291ABB"/>
    <w:rPr>
      <w:b w:val="0"/>
      <w:bCs w:val="0"/>
      <w:color w:val="FF0000"/>
    </w:rPr>
  </w:style>
  <w:style w:type="character" w:customStyle="1" w:styleId="linkgazzetta">
    <w:name w:val="link_gazzetta"/>
    <w:basedOn w:val="Carpredefinitoparagrafo"/>
    <w:rsid w:val="00291A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ABB"/>
    <w:rPr>
      <w:rFonts w:ascii="Tahoma" w:hAnsi="Tahoma" w:cs="Tahoma"/>
      <w:sz w:val="16"/>
      <w:szCs w:val="16"/>
    </w:rPr>
  </w:style>
  <w:style w:type="character" w:customStyle="1" w:styleId="aggiornamenti1">
    <w:name w:val="aggiornamenti1"/>
    <w:basedOn w:val="Carpredefinitoparagrafo"/>
    <w:rsid w:val="00291ABB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113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3866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7871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39104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7363">
                      <w:marLeft w:val="0"/>
                      <w:marRight w:val="96"/>
                      <w:marTop w:val="0"/>
                      <w:marBottom w:val="0"/>
                      <w:divBdr>
                        <w:top w:val="single" w:sz="6" w:space="0" w:color="E7E7E7"/>
                        <w:left w:val="single" w:sz="6" w:space="0" w:color="E7E7E7"/>
                        <w:bottom w:val="single" w:sz="6" w:space="0" w:color="E7E7E7"/>
                        <w:right w:val="single" w:sz="6" w:space="0" w:color="E7E7E7"/>
                      </w:divBdr>
                    </w:div>
                    <w:div w:id="946816797">
                      <w:marLeft w:val="0"/>
                      <w:marRight w:val="96"/>
                      <w:marTop w:val="0"/>
                      <w:marBottom w:val="0"/>
                      <w:divBdr>
                        <w:top w:val="single" w:sz="6" w:space="0" w:color="E7E7E7"/>
                        <w:left w:val="single" w:sz="6" w:space="0" w:color="E7E7E7"/>
                        <w:bottom w:val="single" w:sz="6" w:space="0" w:color="E7E7E7"/>
                        <w:right w:val="single" w:sz="6" w:space="0" w:color="E7E7E7"/>
                      </w:divBdr>
                    </w:div>
                  </w:divsChild>
                </w:div>
              </w:divsChild>
            </w:div>
            <w:div w:id="10199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78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zzettaufficiale.it/eli/gu/2020/12/03/300/sg/pdf" TargetMode="External"/><Relationship Id="rId5" Type="http://schemas.openxmlformats.org/officeDocument/2006/relationships/hyperlink" Target="https://www.gazzettaufficiale.it/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4561</Words>
  <Characters>26000</Characters>
  <Application>Microsoft Office Word</Application>
  <DocSecurity>0</DocSecurity>
  <Lines>216</Lines>
  <Paragraphs>60</Paragraphs>
  <ScaleCrop>false</ScaleCrop>
  <Company/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1</cp:revision>
  <dcterms:created xsi:type="dcterms:W3CDTF">2020-12-04T07:48:00Z</dcterms:created>
  <dcterms:modified xsi:type="dcterms:W3CDTF">2020-12-04T07:52:00Z</dcterms:modified>
</cp:coreProperties>
</file>